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b w:val="1"/>
          <w:bCs w:val="1"/>
        </w:rPr>
      </w:pPr>
      <w:r>
        <w:rPr>
          <w:b w:val="1"/>
          <w:bCs w:val="1"/>
          <w:rtl w:val="0"/>
          <w:lang w:val="en-US"/>
        </w:rPr>
        <w:t xml:space="preserve">Computer Aided Design and Computer Aided Manufacturing PRE-ASSESSMENT </w:t>
      </w:r>
    </w:p>
    <w:p>
      <w:pPr>
        <w:pStyle w:val="Body"/>
      </w:pPr>
      <w:r>
        <w:rPr>
          <w:rtl w:val="0"/>
          <w:lang w:val="en-US"/>
        </w:rPr>
        <w:t>This assessment is to be taken before completing the Computer Aided Design and Computer Aided Manufacturing</w:t>
      </w:r>
      <w:r>
        <w:rPr>
          <w:b w:val="1"/>
          <w:bCs w:val="1"/>
          <w:rtl w:val="0"/>
        </w:rPr>
        <w:t xml:space="preserve"> </w:t>
      </w:r>
      <w:r>
        <w:rPr>
          <w:rtl w:val="0"/>
          <w:lang w:val="en-US"/>
        </w:rPr>
        <w:t>activity.</w:t>
      </w:r>
    </w:p>
    <w:p>
      <w:pPr>
        <w:pStyle w:val="Body"/>
      </w:pPr>
    </w:p>
    <w:p>
      <w:pPr>
        <w:pStyle w:val="Body"/>
      </w:pPr>
      <w:r>
        <w:rPr>
          <w:rtl w:val="0"/>
          <w:lang w:val="en-US"/>
        </w:rPr>
        <w:t>Student Institute ID__________________________</w:t>
      </w:r>
    </w:p>
    <w:p>
      <w:pPr>
        <w:pStyle w:val="Body"/>
      </w:pPr>
    </w:p>
    <w:p>
      <w:pPr>
        <w:pStyle w:val="Body"/>
      </w:pPr>
      <w:r>
        <w:rPr>
          <w:rtl w:val="0"/>
          <w:lang w:val="en-US"/>
        </w:rPr>
        <w:t>Faculty Institute ID__________________________</w:t>
      </w:r>
    </w:p>
    <w:p>
      <w:pPr>
        <w:pStyle w:val="Body"/>
      </w:pPr>
    </w:p>
    <w:p>
      <w:pPr>
        <w:pStyle w:val="Body"/>
      </w:pPr>
    </w:p>
    <w:p>
      <w:pPr>
        <w:pStyle w:val="Body"/>
      </w:pP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
        <w:gridCol w:w="8579"/>
      </w:tblGrid>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CAD files are often used for CNC machining and to improve design quality.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CAD software uses both Vector and Raster graphic images.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3.</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primary purpose of CAM is to create faster production processes.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4.</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CAD drawing provides information such as part material, special processes, dimensions/ tolerances and surface finish.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5.</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CAM system uses the geometry (points, lines and circles) from the CAD system to determine the part geometry. The part ZERO or ORIGIN is determined by the machinist when setting the machine tool.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6.</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CAM systems determine the cutting parameters from the size of the part/piece and the shape of the part.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7.</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Understanding the basics of cutting tools helps the manufacturing technician decide the order of operations required to produce the finished part.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8.</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spindle speed and feed rates determined by the CAM system should always be used when machining any type of material using the pre determined cutting tools.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9.</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CAM system determines the feature location and size from the accurate CAD design drawing.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10.</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Learning the codes for CNC machining is important for optimizing the CNC program and improving productivity?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8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bl>
    <w:p>
      <w:pPr>
        <w:pStyle w:val="Body"/>
        <w:widowControl w:v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drawing>
        <wp:inline distT="0" distB="0" distL="0" distR="0">
          <wp:extent cx="1828800" cy="828675"/>
          <wp:effectExtent l="0" t="0" r="0" b="0"/>
          <wp:docPr id="1073741825" name="officeArt object" descr="STEM-Guitar-Guitarbuilding-Logo-600.png"/>
          <wp:cNvGraphicFramePr/>
          <a:graphic xmlns:a="http://schemas.openxmlformats.org/drawingml/2006/main">
            <a:graphicData uri="http://schemas.openxmlformats.org/drawingml/2006/picture">
              <pic:pic xmlns:pic="http://schemas.openxmlformats.org/drawingml/2006/picture">
                <pic:nvPicPr>
                  <pic:cNvPr id="1073741825" name="STEM-Guitar-Guitarbuilding-Logo-600.png" descr="STEM-Guitar-Guitarbuilding-Logo-600.png"/>
                  <pic:cNvPicPr>
                    <a:picLocks noChangeAspect="1"/>
                  </pic:cNvPicPr>
                </pic:nvPicPr>
                <pic:blipFill>
                  <a:blip r:embed="rId1">
                    <a:extLst/>
                  </a:blip>
                  <a:stretch>
                    <a:fillRect/>
                  </a:stretch>
                </pic:blipFill>
                <pic:spPr>
                  <a:xfrm>
                    <a:off x="0" y="0"/>
                    <a:ext cx="1828800" cy="8286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